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</w:p>
    <w:p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Татарстан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Республикасы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Әлмәт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муниципаль районы </w:t>
      </w:r>
    </w:p>
    <w:p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Түбән Абдул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авылы</w:t>
      </w:r>
      <w:r>
        <w:rPr>
          <w:rFonts w:ascii="Arial" w:hAnsi="Arial" w:cs="Arial"/>
          <w:sz w:val="24"/>
          <w:szCs w:val="24"/>
          <w:lang w:val="tt-RU"/>
        </w:rPr>
        <w:t xml:space="preserve"> башкарма комитеты </w:t>
      </w:r>
    </w:p>
    <w:p>
      <w:pPr>
        <w:tabs>
          <w:tab w:val="left" w:pos="426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КАРАРЫ</w:t>
      </w:r>
    </w:p>
    <w:p>
      <w:pPr>
        <w:tabs>
          <w:tab w:val="left" w:pos="426"/>
        </w:tabs>
        <w:spacing w:after="0"/>
        <w:rPr>
          <w:rFonts w:ascii="Arial" w:hAnsi="Arial" w:cs="Arial"/>
          <w:sz w:val="24"/>
          <w:szCs w:val="24"/>
        </w:rPr>
      </w:pPr>
    </w:p>
    <w:p>
      <w:pPr>
        <w:tabs>
          <w:tab w:val="left" w:pos="426"/>
        </w:tabs>
        <w:spacing w:after="0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25 июль</w:t>
      </w:r>
      <w:r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  <w:lang w:val="tt-RU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ел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tt-RU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  <w:lang w:val="tt-RU"/>
        </w:rPr>
        <w:t>10</w:t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</w:p>
    <w:p>
      <w:pPr>
        <w:pStyle w:val="11"/>
        <w:shd w:val="clear" w:color="auto" w:fill="auto"/>
        <w:spacing w:after="0" w:line="240" w:lineRule="auto"/>
        <w:jc w:val="both"/>
        <w:rPr>
          <w:rStyle w:val="12"/>
          <w:sz w:val="24"/>
          <w:szCs w:val="24"/>
        </w:rPr>
      </w:pPr>
    </w:p>
    <w:p>
      <w:pPr>
        <w:pStyle w:val="11"/>
        <w:shd w:val="clear" w:color="auto" w:fill="auto"/>
        <w:spacing w:after="0" w:line="240" w:lineRule="auto"/>
        <w:jc w:val="both"/>
        <w:rPr>
          <w:rStyle w:val="12"/>
          <w:rFonts w:ascii="Arial" w:hAnsi="Arial" w:cs="Arial"/>
          <w:sz w:val="24"/>
          <w:szCs w:val="24"/>
        </w:rPr>
      </w:pPr>
    </w:p>
    <w:tbl>
      <w:tblPr>
        <w:tblStyle w:val="6"/>
        <w:tblW w:w="5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1"/>
              <w:shd w:val="clear" w:color="auto" w:fill="aut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1"/>
              <w:shd w:val="clear" w:color="auto" w:fill="auto"/>
              <w:spacing w:after="0" w:line="240" w:lineRule="auto"/>
              <w:jc w:val="both"/>
              <w:rPr>
                <w:rStyle w:val="12"/>
                <w:rFonts w:ascii="Arial" w:hAnsi="Arial" w:cs="Arial" w:eastAsiaTheme="minorHAnsi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Әлмәт  муниципаль районы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Түбән Абдул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 җирлегенең  2020 елның 14 маендагы 3 номерлы «Татарстан Республикасы Әлмәт муниципаль районы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Түбән Абдул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 җирлегенең салым чыгымнары исемлеген төзү һәм салым чыгымнарын бәяләү тәртибен раслау турында»»гы карарына үзгәрешләр кертү турында</w:t>
            </w:r>
          </w:p>
        </w:tc>
      </w:tr>
    </w:tbl>
    <w:p>
      <w:pPr>
        <w:pStyle w:val="11"/>
        <w:shd w:val="clear" w:color="auto" w:fill="auto"/>
        <w:spacing w:after="0" w:line="240" w:lineRule="auto"/>
        <w:ind w:right="4960"/>
        <w:rPr>
          <w:rStyle w:val="12"/>
          <w:rFonts w:ascii="Arial" w:hAnsi="Arial" w:cs="Arial"/>
          <w:sz w:val="24"/>
          <w:szCs w:val="24"/>
        </w:rPr>
      </w:pPr>
    </w:p>
    <w:p>
      <w:pPr>
        <w:pStyle w:val="11"/>
        <w:shd w:val="clear" w:color="auto" w:fill="auto"/>
        <w:spacing w:after="0" w:line="240" w:lineRule="auto"/>
        <w:ind w:left="40" w:right="5080"/>
        <w:rPr>
          <w:rStyle w:val="12"/>
          <w:rFonts w:ascii="Arial" w:hAnsi="Arial" w:cs="Arial"/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Россия Федерациясе Хөкүмәтенең «Россия Федерациясе субъектларының һәм муниципаль берәмлекләрнең салым чыгымнарын бәяләүгә гомуми таләпләр турында» 2019 елның 22 июнендәге 796 номерлы карары нигезендә</w:t>
      </w: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Түбән Абдул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авылы</w:t>
      </w:r>
      <w:r>
        <w:rPr>
          <w:rFonts w:ascii="Arial" w:hAnsi="Arial" w:cs="Arial"/>
          <w:sz w:val="24"/>
          <w:szCs w:val="24"/>
          <w:lang w:val="tt-RU"/>
        </w:rPr>
        <w:t xml:space="preserve">  башкарма комитеты </w:t>
      </w:r>
      <w:r>
        <w:rPr>
          <w:rFonts w:ascii="Arial" w:hAnsi="Arial" w:cs="Arial"/>
          <w:sz w:val="24"/>
          <w:szCs w:val="24"/>
        </w:rPr>
        <w:t xml:space="preserve"> КАРАР БИР</w:t>
      </w:r>
      <w:r>
        <w:rPr>
          <w:rFonts w:ascii="Arial" w:hAnsi="Arial" w:cs="Arial"/>
          <w:sz w:val="24"/>
          <w:szCs w:val="24"/>
          <w:lang w:val="tt-RU"/>
        </w:rPr>
        <w:t>Ә: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 xml:space="preserve">          1. </w:t>
      </w:r>
      <w:r>
        <w:rPr>
          <w:rFonts w:ascii="Arial" w:hAnsi="Arial" w:cs="Arial"/>
          <w:sz w:val="24"/>
          <w:szCs w:val="24"/>
          <w:lang w:val="tt-RU"/>
        </w:rPr>
        <w:t xml:space="preserve">Әлмәт  муниципаль районы </w:t>
      </w:r>
      <w:r>
        <w:rPr>
          <w:rFonts w:ascii="Arial" w:hAnsi="Arial" w:cs="Arial"/>
          <w:sz w:val="24"/>
          <w:szCs w:val="24"/>
          <w:lang w:val="tt-RU"/>
        </w:rPr>
        <w:t>Түбән Абдул</w:t>
      </w:r>
      <w:r>
        <w:rPr>
          <w:rFonts w:ascii="Arial" w:hAnsi="Arial" w:cs="Arial"/>
          <w:sz w:val="24"/>
          <w:szCs w:val="24"/>
          <w:lang w:val="tt-RU"/>
        </w:rPr>
        <w:t xml:space="preserve"> авылы башкарма комитетының 2020 елның 14 маендагы 3 номерлы «Татарстан Республикасы Әлмәт муниципаль районы </w:t>
      </w:r>
      <w:r>
        <w:rPr>
          <w:rFonts w:ascii="Arial" w:hAnsi="Arial" w:cs="Arial"/>
          <w:sz w:val="24"/>
          <w:szCs w:val="24"/>
          <w:lang w:val="tt-RU"/>
        </w:rPr>
        <w:t>Түбән Абдул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 xml:space="preserve"> авыл җирлегенең салым чыгымнары исемлеген төзү һәм салым чыгымнарын бәяләү тәртибен раслау турында»»гы карарына түбәндәге үзгәрешләр һәм өстәмәләр кертергә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>: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карарга</w:t>
      </w:r>
      <w:r>
        <w:rPr>
          <w:lang w:val="tt-RU"/>
        </w:rPr>
        <w:t xml:space="preserve">  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eastAsia="ru-RU"/>
        </w:rPr>
        <w:t>1 нче кушымтада: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 xml:space="preserve">          1.1.  1</w:t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ab/>
      </w: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>бүлекнең 3 пунктында «,муниципаль программаларның структур элементлары» сүзләрен төшереп калдырырга;</w:t>
      </w:r>
    </w:p>
    <w:p>
      <w:pPr>
        <w:spacing w:after="0" w:line="240" w:lineRule="auto"/>
        <w:jc w:val="both"/>
        <w:rPr>
          <w:rFonts w:ascii="Arial" w:hAnsi="Arial" w:cs="Arial"/>
          <w:color w:val="000000"/>
          <w:spacing w:val="3"/>
          <w:sz w:val="24"/>
          <w:szCs w:val="24"/>
          <w:shd w:val="clear" w:color="auto" w:fill="FFFFFF"/>
          <w:lang w:val="tt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 xml:space="preserve">          1.2.  2 бүлекнең  6 пунктында «муниципаль берәмлекнең рәсми сайтында» сүзләрен «Әлмәт муниципаль районы сайтында» сүзләренә алмаштырырга;</w:t>
      </w:r>
    </w:p>
    <w:p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 xml:space="preserve">          1.3. 3 бүлектә:</w:t>
      </w:r>
    </w:p>
    <w:p>
      <w:pPr>
        <w:spacing w:after="0" w:line="240" w:lineRule="auto"/>
        <w:ind w:firstLine="627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>12 пунктның икенче абзацында «, муниципаль программаларның структур элементлары» сүзләрен төшереп калдырырга;</w:t>
      </w:r>
    </w:p>
    <w:p>
      <w:pPr>
        <w:spacing w:after="0" w:line="240" w:lineRule="auto"/>
        <w:ind w:firstLine="627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>12 пунктның өченче абзацын түбәндәге редакциядә бәян итәргә:</w:t>
      </w:r>
    </w:p>
    <w:p>
      <w:pPr>
        <w:spacing w:after="0" w:line="240" w:lineRule="auto"/>
        <w:ind w:firstLine="627"/>
        <w:jc w:val="both"/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color w:val="000000"/>
          <w:spacing w:val="3"/>
          <w:sz w:val="24"/>
          <w:szCs w:val="24"/>
          <w:lang w:val="tt-RU" w:eastAsia="ru-RU"/>
        </w:rPr>
        <w:t>«ташламаларга хокуктан файдаланучы түләүчеләр санының һәм ташламалар куллануга потенциаль хокукка ия түләүчеләр санының 5 еллык чорга нисбәте белән характерлана торган ташламалардан түләүчеләрнең яисә түләүчеләрнең гомуми санының таләп ителүе.»;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z w:val="24"/>
          <w:szCs w:val="24"/>
          <w:lang w:val="tt-RU" w:eastAsia="ru-RU"/>
        </w:rPr>
        <w:t>12 пунктка түбәндәге эчтәлекле абзац өстәргә: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z w:val="24"/>
          <w:szCs w:val="24"/>
          <w:lang w:val="tt-RU" w:eastAsia="ru-RU"/>
        </w:rPr>
        <w:t>«Ташламалар түләүчеләр тарафыннан бирелгән ташламалар кураторы тарафыннан бирелгән түләүчеләрнең ихтыяҗын бәяләүне уздыру максатларында ташламалар таләп ителгән дип таныла торган әлеге пунктның өченче абзацында күрсәтелгән нисбәтнең минималь күрсәткече билгеләнергә мөмкин.»;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z w:val="24"/>
          <w:szCs w:val="24"/>
          <w:lang w:val="tt-RU" w:eastAsia="ru-RU"/>
        </w:rPr>
        <w:t>түбәндәге эчтәлекле 15.1. пункты өстәргә:</w:t>
      </w:r>
    </w:p>
    <w:p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tt-RU"/>
        </w:rPr>
        <w:t>«15.1. Салым чыгымнары кураторы кирәк булганда, муниципаль берәмлек салым чыгымнарының бюджет нәтиҗәлелеген бәяләүнең өстәмә критерийлары билгеләнергә мөмкин.»;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z w:val="24"/>
          <w:szCs w:val="24"/>
          <w:lang w:val="tt-RU" w:eastAsia="ru-RU"/>
        </w:rPr>
        <w:t>түбәндәге эчтәлекле 16.1 пункты өстәргә: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eastAsia="Times New Roman" w:cs="Arial"/>
          <w:sz w:val="24"/>
          <w:szCs w:val="24"/>
          <w:lang w:val="tt-RU" w:eastAsia="ru-RU"/>
        </w:rPr>
        <w:t>«16.1. Муниципаль берәмлекнең салым чыгымнарының нәтиҗәлелеген бәяләүне муниципаль берәмлекнең техник салым чыгымнарына карата үткәрмәскә рөхсәт ителә.».</w:t>
      </w: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val="tt-RU" w:eastAsia="ru-RU"/>
        </w:rPr>
      </w:pPr>
      <w:r>
        <w:rPr>
          <w:rFonts w:ascii="Arial" w:hAnsi="Arial" w:cs="Arial"/>
          <w:sz w:val="24"/>
          <w:szCs w:val="24"/>
          <w:lang w:val="tt-RU"/>
        </w:rPr>
        <w:t xml:space="preserve">2. Әлеге карарны </w:t>
      </w:r>
      <w:r>
        <w:rPr>
          <w:rFonts w:ascii="Arial" w:hAnsi="Arial" w:cs="Arial"/>
          <w:sz w:val="24"/>
          <w:szCs w:val="24"/>
          <w:lang w:val="tt-RU"/>
        </w:rPr>
        <w:t>Түбән Абдул</w:t>
      </w:r>
      <w:r>
        <w:rPr>
          <w:rFonts w:ascii="Arial" w:hAnsi="Arial" w:cs="Arial"/>
          <w:sz w:val="24"/>
          <w:szCs w:val="24"/>
          <w:lang w:val="tt-RU"/>
        </w:rPr>
        <w:t xml:space="preserve"> авылы, Ленин урамы, 92 йорт, Кзыл Кеч авылы, Кзыл Кеч урамы,12 йорт территориясендә  урнашкан махсус стендларда игълан итәргә, шулай ук «Татарстан Республикасының рәсми хокукый мәгълүмат порталы» (PRAVO.TATARSTAN.RU) </w:t>
      </w:r>
      <w:r>
        <w:rPr>
          <w:rFonts w:ascii="Arial" w:hAnsi="Arial" w:eastAsia="Calibri" w:cs="Arial"/>
          <w:sz w:val="24"/>
          <w:szCs w:val="24"/>
          <w:lang w:val="tt-RU"/>
        </w:rPr>
        <w:t>һәм Әлмәт муниципаль районы сайтында «Интернет» мәгълүмат-телекоммуникация челтәрендә урнаштырырга</w:t>
      </w:r>
      <w:r>
        <w:rPr>
          <w:rFonts w:ascii="Arial" w:hAnsi="Arial" w:eastAsia="Times New Roman" w:cs="Arial"/>
          <w:sz w:val="24"/>
          <w:szCs w:val="24"/>
          <w:shd w:val="clear" w:color="auto" w:fill="FFFFFF"/>
          <w:lang w:val="tt-RU" w:eastAsia="ru-RU"/>
        </w:rPr>
        <w:t>.</w:t>
      </w:r>
    </w:p>
    <w:p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3. Әлеге карар  рәсми басылганнан соң  үз көченә керә.</w:t>
      </w:r>
    </w:p>
    <w:p>
      <w:pPr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4. Әлеге карарның үтәлешен контрольдә тотуны  үземдә калдырым.</w:t>
      </w: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Түбән Абдул </w:t>
      </w:r>
      <w:r>
        <w:rPr>
          <w:rFonts w:ascii="Arial" w:hAnsi="Arial" w:cs="Arial"/>
          <w:sz w:val="24"/>
          <w:szCs w:val="24"/>
          <w:lang w:val="tt-RU"/>
        </w:rPr>
        <w:t>авылы башкарма</w:t>
      </w:r>
    </w:p>
    <w:p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комитеты җитәкчесе                                                                                    Р.Р.Юнысов</w:t>
      </w: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>
      <w:pPr>
        <w:pStyle w:val="8"/>
        <w:shd w:val="clear" w:color="auto" w:fill="FFFFFF"/>
        <w:spacing w:line="330" w:lineRule="atLeast"/>
        <w:jc w:val="center"/>
        <w:rPr>
          <w:rFonts w:ascii="Arial" w:hAnsi="Arial" w:cs="Arial"/>
          <w:b/>
          <w:bCs/>
          <w:color w:val="2B4279"/>
          <w:sz w:val="29"/>
          <w:szCs w:val="29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E97"/>
    <w:rsid w:val="000C5A88"/>
    <w:rsid w:val="000F228F"/>
    <w:rsid w:val="00191B21"/>
    <w:rsid w:val="0034490B"/>
    <w:rsid w:val="004245A6"/>
    <w:rsid w:val="004404AB"/>
    <w:rsid w:val="005114A5"/>
    <w:rsid w:val="00543B54"/>
    <w:rsid w:val="00556810"/>
    <w:rsid w:val="00581E97"/>
    <w:rsid w:val="005C5269"/>
    <w:rsid w:val="0060020A"/>
    <w:rsid w:val="00660A8B"/>
    <w:rsid w:val="0070142A"/>
    <w:rsid w:val="00723776"/>
    <w:rsid w:val="00735909"/>
    <w:rsid w:val="007712BD"/>
    <w:rsid w:val="008606F6"/>
    <w:rsid w:val="0099682F"/>
    <w:rsid w:val="00AD52EB"/>
    <w:rsid w:val="00B50E0C"/>
    <w:rsid w:val="00C1533E"/>
    <w:rsid w:val="00CE261D"/>
    <w:rsid w:val="00D3329B"/>
    <w:rsid w:val="00D408D2"/>
    <w:rsid w:val="00ED0497"/>
    <w:rsid w:val="00F345AC"/>
    <w:rsid w:val="1507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15"/>
    <w:uiPriority w:val="99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hAnsi="Arial" w:eastAsia="Times New Roman" w:cs="Times New Roman"/>
      <w:sz w:val="16"/>
      <w:szCs w:val="16"/>
      <w:lang w:eastAsia="ru-RU"/>
    </w:r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amedoc"/>
    <w:basedOn w:val="3"/>
    <w:uiPriority w:val="0"/>
  </w:style>
  <w:style w:type="paragraph" w:customStyle="1" w:styleId="8">
    <w:name w:val="header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format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Основной текст_"/>
    <w:basedOn w:val="3"/>
    <w:link w:val="11"/>
    <w:uiPriority w:val="0"/>
    <w:rPr>
      <w:rFonts w:ascii="Times New Roman" w:hAnsi="Times New Roman" w:eastAsia="Times New Roman" w:cs="Times New Roman"/>
      <w:spacing w:val="3"/>
      <w:sz w:val="25"/>
      <w:szCs w:val="25"/>
      <w:shd w:val="clear" w:color="auto" w:fill="FFFFFF"/>
    </w:rPr>
  </w:style>
  <w:style w:type="paragraph" w:customStyle="1" w:styleId="11">
    <w:name w:val="Основной текст6"/>
    <w:basedOn w:val="1"/>
    <w:link w:val="10"/>
    <w:uiPriority w:val="0"/>
    <w:pPr>
      <w:widowControl w:val="0"/>
      <w:shd w:val="clear" w:color="auto" w:fill="FFFFFF"/>
      <w:spacing w:after="600" w:line="317" w:lineRule="exact"/>
    </w:pPr>
    <w:rPr>
      <w:rFonts w:ascii="Times New Roman" w:hAnsi="Times New Roman" w:eastAsia="Times New Roman" w:cs="Times New Roman"/>
      <w:spacing w:val="3"/>
      <w:sz w:val="25"/>
      <w:szCs w:val="25"/>
    </w:rPr>
  </w:style>
  <w:style w:type="character" w:customStyle="1" w:styleId="12">
    <w:name w:val="Основной текст1"/>
    <w:basedOn w:val="10"/>
    <w:uiPriority w:val="0"/>
    <w:rPr>
      <w:rFonts w:ascii="Times New Roman" w:hAnsi="Times New Roman" w:eastAsia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3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Основной текст с отступом 3 Знак"/>
    <w:basedOn w:val="3"/>
    <w:link w:val="2"/>
    <w:uiPriority w:val="99"/>
    <w:rPr>
      <w:rFonts w:ascii="Arial" w:hAnsi="Arial" w:eastAsia="Times New Roman" w:cs="Times New Roman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452</Words>
  <Characters>2583</Characters>
  <Lines>21</Lines>
  <Paragraphs>6</Paragraphs>
  <TotalTime>1</TotalTime>
  <ScaleCrop>false</ScaleCrop>
  <LinksUpToDate>false</LinksUpToDate>
  <CharactersWithSpaces>3029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2022-07-20T08:19:00Z</dcterms:created>
  <dc:creator>Совет</dc:creator>
  <cp:lastModifiedBy>Пользователь</cp:lastModifiedBy>
  <cp:lastPrinted>2022-07-25T04:27:02Z</cp:lastPrinted>
  <dcterms:modified xsi:type="dcterms:W3CDTF">2022-07-25T04:27:06Z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